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DD405C">
      <w:r>
        <w:t>THE EXCEPTED SALVAGE VALUE OF THE VEHICLE FOR RS. 125,000.00 WITH R.C. AND RS. 25,000/- WITHOUT R.C.</w:t>
      </w:r>
    </w:p>
    <w:sectPr w:rsidR="003F6D92" w:rsidSect="00A0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compat/>
  <w:rsids>
    <w:rsidRoot w:val="00DD405C"/>
    <w:rsid w:val="00071B23"/>
    <w:rsid w:val="001750A2"/>
    <w:rsid w:val="004F6A32"/>
    <w:rsid w:val="0050013A"/>
    <w:rsid w:val="006A194D"/>
    <w:rsid w:val="00A02496"/>
    <w:rsid w:val="00D33F6F"/>
    <w:rsid w:val="00DD405C"/>
    <w:rsid w:val="00ED30D0"/>
    <w:rsid w:val="00F83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>BPC</Company>
  <LinksUpToDate>false</LinksUpToDate>
  <CharactersWithSpaces>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2014-10-16T10:33:00Z</dcterms:created>
  <dcterms:modified xsi:type="dcterms:W3CDTF">2014-10-16T10:34:00Z</dcterms:modified>
</cp:coreProperties>
</file>