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DC2" w:rsidRDefault="005A3F2F">
      <w:r>
        <w:t xml:space="preserve">THE SALVAGE VALUE OF THE VEHICLE </w:t>
      </w:r>
      <w:r w:rsidR="00067DC2">
        <w:t>WITH R.C. FOR RS. 225,000.00</w:t>
      </w:r>
    </w:p>
    <w:p w:rsidR="007C5A23" w:rsidRDefault="005A3F2F">
      <w:r>
        <w:t xml:space="preserve"> WITHOUT R.C. FOR RS. 150,000.00</w:t>
      </w:r>
    </w:p>
    <w:sectPr w:rsidR="007C5A23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294F0A"/>
    <w:rsid w:val="00067DC2"/>
    <w:rsid w:val="001E732D"/>
    <w:rsid w:val="00294F0A"/>
    <w:rsid w:val="005A3F2F"/>
    <w:rsid w:val="007C5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>BPC</Company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3</cp:revision>
  <dcterms:created xsi:type="dcterms:W3CDTF">2013-11-27T07:11:00Z</dcterms:created>
  <dcterms:modified xsi:type="dcterms:W3CDTF">2013-11-27T07:12:00Z</dcterms:modified>
</cp:coreProperties>
</file>